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1"/>
        <w:spacing w:before="0" w:after="0" w:line="240" w:lineRule="auto"/>
        <w:rPr>
          <w:rFonts w:cs="Times New Roman"/>
          <w:color w:val="202d62"/>
          <w:szCs w:val="28"/>
        </w:rPr>
      </w:pPr>
      <w:r/>
      <w:bookmarkStart w:id="0" w:name="_Hlk41591247"/>
      <w:r>
        <w:rPr>
          <w:rFonts w:cs="Times New Roman"/>
          <w:color w:val="202d62"/>
          <w:szCs w:val="28"/>
        </w:rPr>
        <w:t xml:space="preserve">ФОРМА АНКЕТЫ</w:t>
      </w:r>
      <w:r>
        <w:rPr>
          <w:rFonts w:cs="Times New Roman"/>
          <w:color w:val="202d62"/>
          <w:szCs w:val="28"/>
        </w:rPr>
        <w:t xml:space="preserve"> ЭКСПЕРТА</w:t>
      </w:r>
      <w:r/>
    </w:p>
    <w:p>
      <w:pPr>
        <w:pStyle w:val="671"/>
        <w:spacing w:before="0" w:after="0" w:line="240" w:lineRule="auto"/>
        <w:rPr>
          <w:rFonts w:cs="Times New Roman"/>
          <w:color w:val="202d62"/>
          <w:szCs w:val="28"/>
        </w:rPr>
      </w:pPr>
      <w:r>
        <w:rPr>
          <w:rFonts w:cs="Times New Roman"/>
          <w:color w:val="202d62"/>
          <w:szCs w:val="28"/>
        </w:rPr>
        <w:t xml:space="preserve"> </w:t>
      </w:r>
      <w:r>
        <w:rPr>
          <w:rFonts w:cs="Times New Roman"/>
          <w:color w:val="202d62"/>
          <w:szCs w:val="28"/>
        </w:rPr>
        <w:t xml:space="preserve">ФГАНУ </w:t>
      </w:r>
      <w:r>
        <w:rPr>
          <w:rFonts w:cs="Times New Roman"/>
          <w:color w:val="202d62"/>
          <w:szCs w:val="28"/>
        </w:rPr>
        <w:t xml:space="preserve">«</w:t>
      </w:r>
      <w:r>
        <w:rPr>
          <w:rFonts w:cs="Times New Roman"/>
          <w:color w:val="202d62"/>
          <w:szCs w:val="28"/>
        </w:rPr>
        <w:t xml:space="preserve">Социоцентр</w:t>
      </w:r>
      <w:r>
        <w:rPr>
          <w:rFonts w:cs="Times New Roman"/>
          <w:color w:val="202d62"/>
          <w:szCs w:val="28"/>
        </w:rPr>
        <w:t xml:space="preserve">»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tbl>
      <w:tblPr>
        <w:tblStyle w:val="682"/>
        <w:tblW w:w="934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8"/>
        <w:gridCol w:w="5347"/>
      </w:tblGrid>
      <w:tr>
        <w:trPr>
          <w:trHeight w:val="262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</w:t>
            </w:r>
            <w:r>
              <w:rPr>
                <w:color w:val="202d62"/>
                <w:sz w:val="28"/>
                <w:szCs w:val="28"/>
              </w:rPr>
              <w:t xml:space="preserve">1. </w:t>
            </w:r>
            <w:r>
              <w:rPr>
                <w:color w:val="202d62"/>
                <w:sz w:val="28"/>
                <w:szCs w:val="28"/>
              </w:rPr>
              <w:t xml:space="preserve"> ЛИЧНАЯ ИНФОРМАЦИЯ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на русском языке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на русском языке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на русском языке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проживания: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проживания: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к переезду в другой регион РФ?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да, нет)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к командировкам (1-2 раза в месяц)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нет/да)?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15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 </w:t>
            </w:r>
            <w:r>
              <w:rPr>
                <w:color w:val="202d62"/>
                <w:sz w:val="28"/>
                <w:szCs w:val="28"/>
              </w:rPr>
              <w:t xml:space="preserve">2. </w:t>
            </w:r>
            <w:r>
              <w:rPr>
                <w:color w:val="202d62"/>
                <w:sz w:val="28"/>
                <w:szCs w:val="28"/>
              </w:rPr>
              <w:t xml:space="preserve">ВЫСШЕЕ ОБРАЗОВАНИЕ</w:t>
            </w:r>
            <w:r/>
          </w:p>
        </w:tc>
      </w:tr>
      <w:tr>
        <w:trPr>
          <w:trHeight w:val="3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учебного заведения: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Степень/диплом: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обучения (год):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обучения (год):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обучения: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обучения: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Специальность/направление: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41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02d62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</w:t>
            </w:r>
            <w:r>
              <w:rPr>
                <w:color w:val="202d62"/>
                <w:sz w:val="28"/>
                <w:szCs w:val="28"/>
              </w:rPr>
              <w:t xml:space="preserve"> 3.</w:t>
            </w:r>
            <w:r>
              <w:rPr>
                <w:color w:val="202d62"/>
                <w:sz w:val="28"/>
                <w:szCs w:val="28"/>
              </w:rPr>
              <w:t xml:space="preserve"> ДОПОЛНИТЕЛЬНОЕ ОБРАЗОВАНИЕ</w:t>
            </w:r>
            <w:r/>
          </w:p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(Необходимо указать информацию за последние 5 лет)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учебного заведения: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Программа повышения квалификации, Программа профессиональной переподготовки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обучения (год):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обучения (месяц, год):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обучения: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обучения: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они были полезны для вас?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</w:t>
            </w:r>
            <w:r>
              <w:rPr>
                <w:color w:val="202d62"/>
                <w:sz w:val="28"/>
                <w:szCs w:val="28"/>
              </w:rPr>
              <w:t xml:space="preserve"> 4.</w:t>
            </w:r>
            <w:r>
              <w:rPr>
                <w:color w:val="202d62"/>
                <w:sz w:val="28"/>
                <w:szCs w:val="28"/>
              </w:rPr>
              <w:t xml:space="preserve"> НАУКА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кандидата наук и (или) доктора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в научных изданиях первого и второго квартилей, индексированных в международных базах данных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и (или) "Сеть науки" (Web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Science Core Collection)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последние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научной экспертизы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(отметить нужный вариант)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01 Математика, Информатика и Науки о системах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4004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01-100 Математика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3880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01-200 Информатика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275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01-300 Механика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257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01-400 Сетевые технологии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912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01-500 Инфокоммуникационные технологии и вычислительные системы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810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01-600 Теория управления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0076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01-700 Алгоритмическое и программное обеспечение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02 Физика и Науки о космосе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025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02-100 Ядерная физика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0402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02-200 Физика конденсированных сред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79560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02-300 Оптика, квантовая электроника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4331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02-400 Радиофизика, электроника, акустика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6944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02-500 Физика плазмы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1820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02-600 Теоретическая физика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4718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02-700 Астрономия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03 Химия и Науки о материалах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20958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03-100 Органическая химия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847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03-200 Неорганическая химия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5347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03-300 Высокомолекулярные соединения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3607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03-400 Физическая химия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3139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03-500 Динамика и структура атомно-молекулярных систем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0680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03-600 Фундаментальные проблемы формирования новых материалов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8647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03-700 Многомасштабное компьютерное моделирование структуры и свойств сложных химических систем и материалов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04 Биология и Науки о жизни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256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04-100 Общая биология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30200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04-200 Физико-химическая биология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616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04-300 Экология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05 Фундаментальные исследования для медицины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1412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05-100 Фундаментальная медицина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7671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05-200 Клиническая медицина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3362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05-300 Науки о здоровье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407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05-400 Медицинские биотехнологии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0078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05-500 Фармакология и фармацевтика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628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05-600 Медицинская физика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2973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05-700 Медицинские техника и информатика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06 Сельскохозяйственные науки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8709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06-100 Земледелие и растениеводство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6140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06-200 Зоотехния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9314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06-300 Теоретические основы и технология пищевых продуктов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07 Науки о Земле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7809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07-100 Геология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2213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07-200 Геохимия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7802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07-300 Горные науки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2353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07-400 Геофизика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5552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07-500 Океанология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2059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07-600 Физика атмосферы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1195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07-700 География и гидрология суши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Гуманитарные науки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3544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08-100 Исторические науки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7175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08-200 Философские науки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54680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Социология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8764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08-400 Науковедение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7477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08-500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Искусствоведение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8248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08-600 Педагогика</w:t>
            </w:r>
            <w:r/>
          </w:p>
          <w:p>
            <w:pPr>
              <w:ind w:left="-6"/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7369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08-700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Культурология</w:t>
            </w:r>
            <w:r/>
          </w:p>
          <w:p>
            <w:pPr>
              <w:pStyle w:val="678"/>
              <w:numPr>
                <w:ilvl w:val="0"/>
                <w:numId w:val="2"/>
              </w:numPr>
              <w:ind w:left="0" w:firstLine="0"/>
              <w:spacing w:after="0" w:line="240" w:lineRule="auto"/>
              <w:shd w:val="clear" w:color="auto" w:fill="f2f2f2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09 Инженерные науки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2534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09-100 Машиноведение и инженерная механика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7656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09-200 Процессы тепломассообмена, свойства веществ и материалов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210741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09-300 Электрофизика, электротехника и электроэнергетика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8864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09-400 Энергетика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3185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09-500 Атомная энергетика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5936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09-600 Технические системы и процессы управления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6056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09-700 Элементная база вычислительной техники и коммуникационных систем</w:t>
            </w:r>
            <w:r/>
          </w:p>
          <w:p>
            <w:pPr>
              <w:spacing w:after="120" w:line="240" w:lineRule="auto"/>
              <w:tabs>
                <w:tab w:val="left" w:pos="37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9921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09-800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Фундаментальные основы конвергентных наук</w:t>
            </w:r>
            <w:r/>
          </w:p>
        </w:tc>
      </w:tr>
      <w:tr>
        <w:trPr>
          <w:trHeight w:val="1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78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высокорейтинговых журналах за последние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09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02d62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</w:t>
            </w:r>
            <w:r>
              <w:rPr>
                <w:color w:val="202d62"/>
                <w:sz w:val="28"/>
                <w:szCs w:val="28"/>
              </w:rPr>
              <w:t xml:space="preserve"> 5.</w:t>
            </w:r>
            <w:r>
              <w:rPr>
                <w:color w:val="202d62"/>
                <w:sz w:val="28"/>
                <w:szCs w:val="28"/>
              </w:rPr>
              <w:t xml:space="preserve"> ТЕКУЩИЙ ОПЫТ РАБОТЫ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(лет):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6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работы в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обязанности: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в подчинении: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управленческой работы (всего лет):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 </w:t>
            </w:r>
            <w:r>
              <w:rPr>
                <w:color w:val="202d62"/>
                <w:sz w:val="28"/>
                <w:szCs w:val="28"/>
              </w:rPr>
              <w:t xml:space="preserve">6. </w:t>
            </w:r>
            <w:r>
              <w:rPr>
                <w:color w:val="202d62"/>
                <w:sz w:val="28"/>
                <w:szCs w:val="28"/>
              </w:rPr>
              <w:t xml:space="preserve">ПРЕДЫДУЩИЙ ОПЫТ РАБОТЫ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пыт работы за последние 10 лет: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Отрасль: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Страна, Город (предыдущий опыт работы):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позиция в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работы в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работы в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</w:t>
            </w:r>
            <w:r>
              <w:rPr>
                <w:color w:val="202d62"/>
                <w:sz w:val="28"/>
                <w:szCs w:val="28"/>
              </w:rPr>
              <w:t xml:space="preserve"> 7.</w:t>
            </w:r>
            <w:r>
              <w:rPr>
                <w:color w:val="202d62"/>
                <w:sz w:val="28"/>
                <w:szCs w:val="28"/>
              </w:rPr>
              <w:t xml:space="preserve"> ОБЛАСТИ ОПЫТА И ЗНАНИЙ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считаете себя экспертом?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педагогической работы в образовательной организации высшего образования и (или) научной работы</w:t>
            </w:r>
            <w:r>
              <w:rPr>
                <w:rFonts w:eastAsia="Calibri"/>
                <w:sz w:val="28"/>
                <w:szCs w:val="28"/>
              </w:rPr>
              <w:t xml:space="preserve">?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19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работы на административно-управленческой должности в сфере образования и (или) науки и (или) государственного управления и (или) в коммерческой организации</w:t>
            </w:r>
            <w:r>
              <w:rPr>
                <w:rFonts w:eastAsia="Calibri"/>
                <w:sz w:val="28"/>
                <w:szCs w:val="28"/>
              </w:rPr>
              <w:t xml:space="preserve">?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работы в консалтинговых, исследовательских или образовательных проектах в качестве консультанта, эксперта, преподавателя, модератора или руководителя проектной работы</w:t>
            </w:r>
            <w:r>
              <w:rPr>
                <w:rFonts w:eastAsia="Calibri"/>
                <w:sz w:val="28"/>
                <w:szCs w:val="28"/>
              </w:rPr>
              <w:t xml:space="preserve">?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руководства научно-исследовательским проектом</w:t>
            </w:r>
            <w:r>
              <w:rPr>
                <w:rFonts w:eastAsia="Calibri"/>
                <w:sz w:val="28"/>
                <w:szCs w:val="28"/>
              </w:rPr>
              <w:t xml:space="preserve">?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rFonts w:eastAsia="Calibri"/>
                <w:sz w:val="28"/>
                <w:szCs w:val="28"/>
              </w:rPr>
              <w:t xml:space="preserve"> научного руководства студентами и (или) аспирантами</w:t>
            </w:r>
            <w:r>
              <w:rPr>
                <w:rFonts w:eastAsia="Calibri"/>
                <w:sz w:val="28"/>
                <w:szCs w:val="28"/>
              </w:rPr>
              <w:t xml:space="preserve">?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планирования и написания заявок на гранты и (или) руководства или участия в реализации научного проекта, получившего грант</w:t>
            </w:r>
            <w:r>
              <w:rPr>
                <w:rFonts w:eastAsia="Calibri"/>
                <w:sz w:val="28"/>
                <w:szCs w:val="28"/>
              </w:rPr>
              <w:t xml:space="preserve">?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Есть ли у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z w:val="28"/>
                <w:szCs w:val="28"/>
              </w:rPr>
              <w:t xml:space="preserve">ас опыт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ч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ленств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 в профессиональных ассоциациях, обществах и 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союзах и (или) участие в деятельности общественных или экспертных советов и (или) участие в деятельности редакционной коллегии научного или профессионального журнала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 xml:space="preserve">?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Есть ли у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ас опыт участия в экспертизе федеральных программ и проектов? Опишите его.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Есть ли у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ас опыт проведения проектно-аналитических мероприятий, стратегических обучающих сессий и мероприятий? Опишите его.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gridSpan w:val="2"/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 </w:t>
            </w:r>
            <w:r>
              <w:rPr>
                <w:color w:val="202d62"/>
                <w:sz w:val="28"/>
                <w:szCs w:val="28"/>
              </w:rPr>
              <w:t xml:space="preserve">8. </w:t>
            </w:r>
            <w:r>
              <w:rPr>
                <w:color w:val="202d62"/>
                <w:sz w:val="28"/>
                <w:szCs w:val="28"/>
              </w:rPr>
              <w:t xml:space="preserve">ОТРАСЛЕВАЯ ЭКСПЕРТИЗА</w:t>
            </w:r>
            <w:r/>
          </w:p>
        </w:tc>
      </w:tr>
      <w:tr>
        <w:trPr>
          <w:trHeight w:val="3170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Считаете ли Вы себя экспертом в одной или нескольких из представленных отраслей?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(отметить нужный вариант)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(Код ОКОНХ):</w:t>
            </w:r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316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11100 </w:t>
            </w:r>
            <w:hyperlink r:id="rId11" w:tooltip="https://poporyadku.ru/okonh/175018-kod-111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Электроэнергетика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3436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11200 </w:t>
            </w:r>
            <w:hyperlink r:id="rId12" w:tooltip="https://poporyadku.ru/okonh/175018-kod-112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Топливная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7259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12100 </w:t>
            </w:r>
            <w:hyperlink r:id="rId13" w:tooltip="https://poporyadku.ru/okonh/175018-kod-121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Черная металлургия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2828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12200 </w:t>
            </w:r>
            <w:hyperlink r:id="rId14" w:tooltip="https://poporyadku.ru/okonh/175018-kod-122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Цветная металлургия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5858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13000 </w:t>
            </w:r>
            <w:hyperlink r:id="rId15" w:tooltip="https://poporyadku.ru/okonh/175018-kod-130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Химическая и нефтехимическая промышленность 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3138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14000 Машиностроение и металлообработка</w:t>
            </w:r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12801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15000 </w:t>
            </w:r>
            <w:hyperlink r:id="rId16" w:tooltip="https://poporyadku.ru/okonh/175018-kod-150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Лесная, деревообрабатывающая и целлюлозно-бумажная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725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16100 </w:t>
            </w:r>
            <w:hyperlink r:id="rId17" w:tooltip="https://poporyadku.ru/okonh/175018-kod-161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Промышленность строительных материалов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16068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16500 Стекольная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фарфоро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-фаянсовая промышленность</w:t>
            </w:r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6369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17000 </w:t>
            </w:r>
            <w:hyperlink r:id="rId18" w:tooltip="https://poporyadku.ru/okonh/175018-kod-170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Легкая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5404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18000 </w:t>
            </w:r>
            <w:hyperlink r:id="rId19" w:tooltip="https://poporyadku.ru/okonh/175018-kod-180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Пищевая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20365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19100 </w:t>
            </w:r>
            <w:hyperlink r:id="rId20" w:tooltip="https://poporyadku.ru/okonh/175018-kod-191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Микробиологическая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3897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19200 </w:t>
            </w:r>
            <w:hyperlink r:id="rId21" w:tooltip="https://poporyadku.ru/okonh/175018-kod-192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Мукомольно-крупяная и комбикормовая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4840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19300 </w:t>
            </w:r>
            <w:hyperlink r:id="rId22" w:tooltip="https://poporyadku.ru/okonh/175018-kod-193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Медицинская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4005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19400 </w:t>
            </w:r>
            <w:hyperlink r:id="rId23" w:tooltip="https://poporyadku.ru/okonh/175018-kod-194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Полиграфическая промышленность</w:t>
              </w:r>
            </w:hyperlink>
            <w:r/>
            <w:r/>
          </w:p>
          <w:p>
            <w:pPr>
              <w:spacing w:after="120" w:line="240" w:lineRule="auto"/>
              <w:tabs>
                <w:tab w:val="left" w:pos="33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15:appearance w15:val="boundingBox"/>
                <w:id w:val="-9222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 w:cs="Times New Roman"/>
                  <w:sz w:val="28"/>
                  <w:szCs w:val="28"/>
                </w:rPr>
              </w:sdt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 xml:space="preserve">☐</w:t>
                </w:r>
              </w:sdtContent>
            </w:sdt>
            <w:r>
              <w:rPr>
                <w:rFonts w:ascii="MS Gothic" w:hAnsi="MS Gothic" w:eastAsia="MS Gothic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19700 </w:t>
            </w:r>
            <w:hyperlink r:id="rId24" w:tooltip="https://poporyadku.ru/okonh/175018-kod-19700.html" w:history="1">
              <w:r>
                <w:rPr>
                  <w:rFonts w:ascii="Times New Roman" w:hAnsi="Times New Roman" w:eastAsia="Times New Roman" w:cs="Times New Roman"/>
                  <w:sz w:val="28"/>
                  <w:szCs w:val="28"/>
                </w:rPr>
                <w:t xml:space="preserve">Другие промышленные производства</w:t>
              </w:r>
            </w:hyperlink>
            <w:r/>
            <w:r/>
          </w:p>
        </w:tc>
      </w:tr>
      <w:tr>
        <w:trPr>
          <w:trHeight w:val="212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vAlign w:val="center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 ПРОФЕССИОНАЛЬНЫЕ ДОСТИЖЕНИЯ</w:t>
            </w:r>
            <w:r/>
          </w:p>
        </w:tc>
      </w:tr>
      <w:tr>
        <w:trPr>
          <w:trHeight w:val="6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 взгляд, наиболее значимые достижения вашей профессиональной деятельности? Перечислите 3 наиболее важных.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98" w:type="dxa"/>
            <w:textDirection w:val="lrTb"/>
            <w:noWrap w:val="false"/>
          </w:tcPr>
          <w:p>
            <w:pPr>
              <w:pStyle w:val="683"/>
              <w:spacing w:before="0" w:beforeAutospacing="0" w:after="199" w:afterAutospacing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государственных и (или) международных премий и наград.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39"/>
        </w:trPr>
        <w:tc>
          <w:tcPr>
            <w:gridSpan w:val="2"/>
            <w:shd w:val="clear" w:color="auto" w:fill="f4f4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Блок ДОКУМЕНТЫ</w:t>
            </w:r>
            <w:r/>
          </w:p>
        </w:tc>
      </w:tr>
      <w:tr>
        <w:trPr>
          <w:trHeight w:val="339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 к анкете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pStyle w:val="678"/>
              <w:numPr>
                <w:ilvl w:val="0"/>
                <w:numId w:val="4"/>
              </w:num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сканы дипломов (о присуждении научной степени, высшем образовании) </w:t>
            </w:r>
            <w:r/>
          </w:p>
          <w:p>
            <w:pPr>
              <w:pStyle w:val="678"/>
              <w:numPr>
                <w:ilvl w:val="0"/>
                <w:numId w:val="4"/>
              </w:num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портретное фото</w:t>
            </w:r>
            <w:r/>
          </w:p>
        </w:tc>
      </w:tr>
      <w:tr>
        <w:trPr>
          <w:trHeight w:val="339"/>
        </w:trPr>
        <w:tc>
          <w:tcPr>
            <w:gridSpan w:val="2"/>
            <w:shd w:val="clear" w:color="auto" w:fill="f4f4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pStyle w:val="672"/>
              <w:jc w:val="center"/>
              <w:spacing w:before="0" w:beforeAutospacing="0" w:after="0" w:afterAutospacing="0"/>
              <w:rPr>
                <w:color w:val="2f5496" w:themeColor="accent1" w:themeShade="BF"/>
                <w:sz w:val="28"/>
                <w:szCs w:val="28"/>
              </w:rPr>
              <w:outlineLvl w:val="1"/>
            </w:pPr>
            <w:r>
              <w:rPr>
                <w:color w:val="202d62"/>
                <w:sz w:val="28"/>
                <w:szCs w:val="28"/>
              </w:rPr>
              <w:t xml:space="preserve">МОТИВАЦИОННОЕ ПИСЬМО</w:t>
            </w:r>
            <w:r/>
          </w:p>
        </w:tc>
      </w:tr>
      <w:tr>
        <w:trPr>
          <w:trHeight w:val="339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Расскажите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почему Вы решили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принять участие в программе. Какую цель и какие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ы ставите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перед собой как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эксперта программы «Приоритет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2030».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Почему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это важно для Вас и почему именно Вы должны стать экспертом Программы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Какой вклад вы можете внести 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данный П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роект?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/>
          </w:p>
        </w:tc>
      </w:tr>
      <w:tr>
        <w:trPr>
          <w:trHeight w:val="339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r>
            <w:r/>
          </w:p>
        </w:tc>
      </w:tr>
    </w:tbl>
    <w:p>
      <w:pPr>
        <w:pStyle w:val="672"/>
        <w:jc w:val="center"/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  <w:r/>
    </w:p>
    <w:p>
      <w:pPr>
        <w:pStyle w:val="672"/>
        <w:jc w:val="center"/>
        <w:spacing w:before="0" w:beforeAutospacing="0" w:after="0" w:afterAutospacing="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</w:r>
      <w:r/>
    </w:p>
    <w:p>
      <w:pPr>
        <w:pStyle w:val="672"/>
        <w:jc w:val="center"/>
        <w:spacing w:before="0" w:beforeAutospacing="0" w:after="0" w:afterAutospacing="0"/>
        <w:rPr>
          <w:color w:val="202d62"/>
          <w:sz w:val="28"/>
          <w:szCs w:val="28"/>
        </w:rPr>
      </w:pPr>
      <w:r>
        <w:rPr>
          <w:color w:val="202d62"/>
          <w:sz w:val="28"/>
          <w:szCs w:val="28"/>
        </w:rPr>
        <w:t xml:space="preserve">Спасибо за Ваше время и ответы!</w:t>
      </w:r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709" w:left="1418" w:header="142" w:footer="42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02148111"/>
      <w:docPartObj>
        <w:docPartGallery w:val="Page Numbers (Bottom of Page)"/>
        <w:docPartUnique w:val="true"/>
      </w:docPartObj>
      <w:rPr/>
    </w:sdtPr>
    <w:sdtContent>
      <w:p>
        <w:pPr>
          <w:pStyle w:val="67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ffffff" w:themeColor="background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585" w:hanging="585"/>
      </w:pPr>
      <w:rPr>
        <w:rFonts w:hint="default"/>
      </w:rPr>
    </w:lvl>
    <w:lvl w:ilvl="1">
      <w:start w:val="800"/>
      <w:numFmt w:val="decimal"/>
      <w:isLgl w:val="false"/>
      <w:suff w:val="tab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 w:val="false"/>
      <w:suff w:val="tab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f32735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3"/>
    <w:link w:val="67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3"/>
    <w:link w:val="672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3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3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73"/>
    <w:link w:val="41"/>
    <w:uiPriority w:val="99"/>
  </w:style>
  <w:style w:type="character" w:styleId="44">
    <w:name w:val="Footer Char"/>
    <w:basedOn w:val="673"/>
    <w:link w:val="679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9"/>
    <w:uiPriority w:val="99"/>
  </w:style>
  <w:style w:type="table" w:styleId="47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3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3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76"/>
    <w:qFormat/>
    <w:pPr>
      <w:jc w:val="center"/>
      <w:keepNext/>
      <w:spacing w:before="240" w:after="60" w:line="360" w:lineRule="auto"/>
      <w:outlineLvl w:val="0"/>
    </w:pPr>
    <w:rPr>
      <w:rFonts w:ascii="Times New Roman" w:hAnsi="Times New Roman" w:eastAsia="Times New Roman" w:cs="Arial"/>
      <w:b/>
      <w:bCs/>
      <w:sz w:val="28"/>
      <w:szCs w:val="32"/>
      <w:lang w:eastAsia="ru-RU"/>
    </w:rPr>
  </w:style>
  <w:style w:type="paragraph" w:styleId="672">
    <w:name w:val="Heading 2"/>
    <w:basedOn w:val="670"/>
    <w:link w:val="677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Заголовок 1 Знак"/>
    <w:basedOn w:val="673"/>
    <w:link w:val="671"/>
    <w:rPr>
      <w:rFonts w:ascii="Times New Roman" w:hAnsi="Times New Roman" w:eastAsia="Times New Roman" w:cs="Arial"/>
      <w:b/>
      <w:bCs/>
      <w:sz w:val="28"/>
      <w:szCs w:val="32"/>
      <w:lang w:eastAsia="ru-RU"/>
    </w:rPr>
  </w:style>
  <w:style w:type="character" w:styleId="677" w:customStyle="1">
    <w:name w:val="Заголовок 2 Знак"/>
    <w:basedOn w:val="673"/>
    <w:link w:val="67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78">
    <w:name w:val="List Paragraph"/>
    <w:basedOn w:val="670"/>
    <w:link w:val="681"/>
    <w:uiPriority w:val="34"/>
    <w:qFormat/>
    <w:pPr>
      <w:contextualSpacing/>
      <w:ind w:left="720"/>
    </w:pPr>
  </w:style>
  <w:style w:type="paragraph" w:styleId="679">
    <w:name w:val="Footer"/>
    <w:basedOn w:val="670"/>
    <w:link w:val="6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0" w:customStyle="1">
    <w:name w:val="Нижний колонтитул Знак"/>
    <w:basedOn w:val="673"/>
    <w:link w:val="679"/>
    <w:uiPriority w:val="99"/>
  </w:style>
  <w:style w:type="character" w:styleId="681" w:customStyle="1">
    <w:name w:val="Абзац списка Знак"/>
    <w:link w:val="678"/>
    <w:uiPriority w:val="34"/>
    <w:qFormat/>
  </w:style>
  <w:style w:type="table" w:styleId="682" w:customStyle="1">
    <w:name w:val="Table Normal"/>
    <w:rPr>
      <w:rFonts w:ascii="Calibri" w:hAnsi="Calibri" w:eastAsia="Calibri" w:cs="Calibri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3">
    <w:name w:val="Normal (Web)"/>
    <w:basedOn w:val="67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poporyadku.ru/okonh/175018-kod-11100.html" TargetMode="External"/><Relationship Id="rId12" Type="http://schemas.openxmlformats.org/officeDocument/2006/relationships/hyperlink" Target="https://poporyadku.ru/okonh/175018-kod-11200.html" TargetMode="External"/><Relationship Id="rId13" Type="http://schemas.openxmlformats.org/officeDocument/2006/relationships/hyperlink" Target="https://poporyadku.ru/okonh/175018-kod-12100.html" TargetMode="External"/><Relationship Id="rId14" Type="http://schemas.openxmlformats.org/officeDocument/2006/relationships/hyperlink" Target="https://poporyadku.ru/okonh/175018-kod-12200.html" TargetMode="External"/><Relationship Id="rId15" Type="http://schemas.openxmlformats.org/officeDocument/2006/relationships/hyperlink" Target="https://poporyadku.ru/okonh/175018-kod-13000.html" TargetMode="External"/><Relationship Id="rId16" Type="http://schemas.openxmlformats.org/officeDocument/2006/relationships/hyperlink" Target="https://poporyadku.ru/okonh/175018-kod-15000.html" TargetMode="External"/><Relationship Id="rId17" Type="http://schemas.openxmlformats.org/officeDocument/2006/relationships/hyperlink" Target="https://poporyadku.ru/okonh/175018-kod-16100.html" TargetMode="External"/><Relationship Id="rId18" Type="http://schemas.openxmlformats.org/officeDocument/2006/relationships/hyperlink" Target="https://poporyadku.ru/okonh/175018-kod-17000.html" TargetMode="External"/><Relationship Id="rId19" Type="http://schemas.openxmlformats.org/officeDocument/2006/relationships/hyperlink" Target="https://poporyadku.ru/okonh/175018-kod-18000.html" TargetMode="External"/><Relationship Id="rId20" Type="http://schemas.openxmlformats.org/officeDocument/2006/relationships/hyperlink" Target="https://poporyadku.ru/okonh/175018-kod-19100.html" TargetMode="External"/><Relationship Id="rId21" Type="http://schemas.openxmlformats.org/officeDocument/2006/relationships/hyperlink" Target="https://poporyadku.ru/okonh/175018-kod-19200.html" TargetMode="External"/><Relationship Id="rId22" Type="http://schemas.openxmlformats.org/officeDocument/2006/relationships/hyperlink" Target="https://poporyadku.ru/okonh/175018-kod-19300.html" TargetMode="External"/><Relationship Id="rId23" Type="http://schemas.openxmlformats.org/officeDocument/2006/relationships/hyperlink" Target="https://poporyadku.ru/okonh/175018-kod-19400.html" TargetMode="External"/><Relationship Id="rId24" Type="http://schemas.openxmlformats.org/officeDocument/2006/relationships/hyperlink" Target="https://poporyadku.ru/okonh/175018-kod-1970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BC24-7FF2-407D-A640-3848CFE9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SOCIOCENTER</dc:creator>
  <cp:keywords/>
  <dc:description/>
  <cp:lastModifiedBy>Приоритет-2030 Press</cp:lastModifiedBy>
  <cp:revision>4</cp:revision>
  <dcterms:created xsi:type="dcterms:W3CDTF">2023-02-01T14:00:00Z</dcterms:created>
  <dcterms:modified xsi:type="dcterms:W3CDTF">2023-02-02T09:16:09Z</dcterms:modified>
</cp:coreProperties>
</file>